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501A" w14:textId="77777777" w:rsidR="00D85BF5" w:rsidRPr="00D85BF5" w:rsidRDefault="00D85BF5" w:rsidP="00D85BF5">
      <w:pPr>
        <w:rPr>
          <w:rFonts w:ascii="Calibri" w:eastAsia="Times New Roman" w:hAnsi="Calibri" w:cs="Calibri"/>
          <w:sz w:val="32"/>
          <w:szCs w:val="32"/>
          <w:lang w:eastAsia="en-GB"/>
        </w:rPr>
      </w:pPr>
      <w:r w:rsidRPr="00D85BF5">
        <w:rPr>
          <w:rFonts w:ascii="Calibri" w:eastAsia="Times New Roman" w:hAnsi="Calibri" w:cs="Calibri"/>
          <w:b/>
          <w:bCs/>
          <w:sz w:val="32"/>
          <w:szCs w:val="32"/>
          <w:lang w:eastAsia="en-GB"/>
        </w:rPr>
        <w:t>Our purpose and mission</w:t>
      </w:r>
    </w:p>
    <w:p w14:paraId="76C0C4B7" w14:textId="77777777" w:rsidR="00D85BF5" w:rsidRPr="00D85BF5" w:rsidRDefault="00D85BF5" w:rsidP="00D85BF5">
      <w:pPr>
        <w:rPr>
          <w:rFonts w:ascii="Calibri" w:eastAsia="Times New Roman" w:hAnsi="Calibri" w:cs="Calibri"/>
          <w:sz w:val="22"/>
          <w:szCs w:val="22"/>
          <w:lang w:eastAsia="en-GB"/>
        </w:rPr>
      </w:pPr>
      <w:r w:rsidRPr="00D85BF5">
        <w:rPr>
          <w:rFonts w:ascii="Calibri" w:eastAsia="Times New Roman" w:hAnsi="Calibri" w:cs="Calibri"/>
          <w:sz w:val="22"/>
          <w:szCs w:val="22"/>
          <w:lang w:eastAsia="en-GB"/>
        </w:rPr>
        <w:t> </w:t>
      </w:r>
    </w:p>
    <w:p w14:paraId="5C47A76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With </w:t>
      </w:r>
      <w:r w:rsidRPr="00D85BF5">
        <w:rPr>
          <w:rFonts w:ascii="Calibri" w:eastAsia="Times New Roman" w:hAnsi="Calibri" w:cs="Calibri"/>
          <w:b/>
          <w:bCs/>
          <w:color w:val="000000"/>
          <w:sz w:val="22"/>
          <w:szCs w:val="22"/>
          <w:lang w:eastAsia="en-GB"/>
        </w:rPr>
        <w:t>people</w:t>
      </w:r>
      <w:r w:rsidRPr="00D85BF5">
        <w:rPr>
          <w:rFonts w:ascii="Calibri" w:eastAsia="Times New Roman" w:hAnsi="Calibri" w:cs="Calibri"/>
          <w:color w:val="000000"/>
          <w:sz w:val="22"/>
          <w:szCs w:val="22"/>
          <w:lang w:eastAsia="en-GB"/>
        </w:rPr>
        <w:t> at the heart of what we do we’ll deliver </w:t>
      </w:r>
      <w:r w:rsidRPr="00D85BF5">
        <w:rPr>
          <w:rFonts w:ascii="Calibri" w:eastAsia="Times New Roman" w:hAnsi="Calibri" w:cs="Calibri"/>
          <w:b/>
          <w:bCs/>
          <w:color w:val="000000"/>
          <w:sz w:val="22"/>
          <w:szCs w:val="22"/>
          <w:lang w:eastAsia="en-GB"/>
        </w:rPr>
        <w:t>services</w:t>
      </w:r>
      <w:r w:rsidRPr="00D85BF5">
        <w:rPr>
          <w:rFonts w:ascii="Calibri" w:eastAsia="Times New Roman" w:hAnsi="Calibri" w:cs="Calibri"/>
          <w:color w:val="000000"/>
          <w:sz w:val="22"/>
          <w:szCs w:val="22"/>
          <w:lang w:eastAsia="en-GB"/>
        </w:rPr>
        <w:t> that will save and change lives, creating </w:t>
      </w:r>
      <w:r w:rsidRPr="00D85BF5">
        <w:rPr>
          <w:rFonts w:ascii="Calibri" w:eastAsia="Times New Roman" w:hAnsi="Calibri" w:cs="Calibri"/>
          <w:b/>
          <w:bCs/>
          <w:color w:val="000000"/>
          <w:sz w:val="22"/>
          <w:szCs w:val="22"/>
          <w:lang w:eastAsia="en-GB"/>
        </w:rPr>
        <w:t>value</w:t>
      </w:r>
      <w:r w:rsidRPr="00D85BF5">
        <w:rPr>
          <w:rFonts w:ascii="Calibri" w:eastAsia="Times New Roman" w:hAnsi="Calibri" w:cs="Calibri"/>
          <w:color w:val="000000"/>
          <w:sz w:val="22"/>
          <w:szCs w:val="22"/>
          <w:lang w:eastAsia="en-GB"/>
        </w:rPr>
        <w:t> and using </w:t>
      </w:r>
      <w:r w:rsidRPr="00D85BF5">
        <w:rPr>
          <w:rFonts w:ascii="Calibri" w:eastAsia="Times New Roman" w:hAnsi="Calibri" w:cs="Calibri"/>
          <w:b/>
          <w:bCs/>
          <w:color w:val="000000"/>
          <w:sz w:val="22"/>
          <w:szCs w:val="22"/>
          <w:lang w:eastAsia="en-GB"/>
        </w:rPr>
        <w:t>technology</w:t>
      </w:r>
      <w:r w:rsidRPr="00D85BF5">
        <w:rPr>
          <w:rFonts w:ascii="Calibri" w:eastAsia="Times New Roman" w:hAnsi="Calibri" w:cs="Calibri"/>
          <w:color w:val="000000"/>
          <w:sz w:val="22"/>
          <w:szCs w:val="22"/>
          <w:lang w:eastAsia="en-GB"/>
        </w:rPr>
        <w:t> to deliver our customer-centric approach.</w:t>
      </w:r>
    </w:p>
    <w:p w14:paraId="43EEDFAF"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3E08034F"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Our ESG strategy underpins Bluestones Medical's activities and ensures we actively integrate business ethics, compliance, people and culture, and community involvement, in all that we do for our clients, candidates and other stakeholders. We are committed to making our business sustainable over the medium to long term, including our commitment to achieve Net Zero by 2050.</w:t>
      </w:r>
    </w:p>
    <w:p w14:paraId="5473B328"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75ACEDFA" w14:textId="77777777" w:rsidR="00D85BF5" w:rsidRPr="00D85BF5" w:rsidRDefault="00D85BF5" w:rsidP="00D85BF5">
      <w:pPr>
        <w:rPr>
          <w:rFonts w:ascii="Calibri" w:eastAsia="Times New Roman" w:hAnsi="Calibri" w:cs="Calibri"/>
          <w:color w:val="000000"/>
          <w:sz w:val="32"/>
          <w:szCs w:val="32"/>
          <w:lang w:eastAsia="en-GB"/>
        </w:rPr>
      </w:pPr>
      <w:r w:rsidRPr="00D85BF5">
        <w:rPr>
          <w:rFonts w:ascii="Calibri" w:eastAsia="Times New Roman" w:hAnsi="Calibri" w:cs="Calibri"/>
          <w:b/>
          <w:bCs/>
          <w:color w:val="000000"/>
          <w:sz w:val="32"/>
          <w:szCs w:val="32"/>
          <w:lang w:eastAsia="en-GB"/>
        </w:rPr>
        <w:t>How we assess ESG</w:t>
      </w:r>
    </w:p>
    <w:p w14:paraId="063297F8"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5DFCBA37"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Bluestones Medical's senior leadership team conduct an annual ESG assessment against a range of specific criteria to understand the company's current position in relation to ESG, before then going on to map out our target position one year ahead. Where differences exist and we believe improvements can be made, actions are outlined in our assessment report, with action owners appointed and due dates agreed.</w:t>
      </w:r>
    </w:p>
    <w:p w14:paraId="4380C7DE"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3E805B1A"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This systematic process of ensuring all aspects of ESG are considered properly permits a good degree of confidence in our ongoing reporting. This annual ESG statement is one of the outputs of this process, and once approved by the Board, is published on the company website.</w:t>
      </w:r>
    </w:p>
    <w:p w14:paraId="5D33CAE9"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26FC3E03" w14:textId="77777777" w:rsidR="00D85BF5" w:rsidRPr="00D85BF5" w:rsidRDefault="00D85BF5" w:rsidP="00D85BF5">
      <w:pPr>
        <w:rPr>
          <w:rFonts w:ascii="Calibri" w:eastAsia="Times New Roman" w:hAnsi="Calibri" w:cs="Calibri"/>
          <w:color w:val="000000"/>
          <w:sz w:val="32"/>
          <w:szCs w:val="32"/>
          <w:lang w:eastAsia="en-GB"/>
        </w:rPr>
      </w:pPr>
      <w:r w:rsidRPr="00D85BF5">
        <w:rPr>
          <w:rFonts w:ascii="Calibri" w:eastAsia="Times New Roman" w:hAnsi="Calibri" w:cs="Calibri"/>
          <w:b/>
          <w:bCs/>
          <w:color w:val="000000"/>
          <w:sz w:val="32"/>
          <w:szCs w:val="32"/>
          <w:lang w:eastAsia="en-GB"/>
        </w:rPr>
        <w:t>Bluestones Medical 2022 ESG assessment score</w:t>
      </w:r>
    </w:p>
    <w:p w14:paraId="35E3CC1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7F1A31E6"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Having completed the assessment on 6th April 2022, Bluestones Medical ESG scores were as follows:</w:t>
      </w:r>
    </w:p>
    <w:p w14:paraId="2AF93BB1"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28"/>
        <w:gridCol w:w="1534"/>
        <w:gridCol w:w="1305"/>
      </w:tblGrid>
      <w:tr w:rsidR="00D85BF5" w:rsidRPr="00D85BF5" w14:paraId="0E5253D7"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73C7F3"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tc>
        <w:tc>
          <w:tcPr>
            <w:tcW w:w="15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CA762B"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Current score</w:t>
            </w:r>
          </w:p>
        </w:tc>
        <w:tc>
          <w:tcPr>
            <w:tcW w:w="13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240EA2"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Target score</w:t>
            </w:r>
          </w:p>
        </w:tc>
      </w:tr>
      <w:tr w:rsidR="00D85BF5" w:rsidRPr="00D85BF5" w14:paraId="3E7B6EBE"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6723AB"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Environment</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D01251"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40.00%</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5B73EF"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73.33%</w:t>
            </w:r>
          </w:p>
        </w:tc>
      </w:tr>
      <w:tr w:rsidR="00D85BF5" w:rsidRPr="00D85BF5" w14:paraId="4596B119"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543D7A"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Social</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C72B9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88.00%</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E10C04"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89.60%</w:t>
            </w:r>
          </w:p>
        </w:tc>
      </w:tr>
      <w:tr w:rsidR="00D85BF5" w:rsidRPr="00D85BF5" w14:paraId="4587AE39"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14D609"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Governance</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63FBD2"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61.82%</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C09E5A"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83.33%</w:t>
            </w:r>
          </w:p>
        </w:tc>
      </w:tr>
      <w:tr w:rsidR="00D85BF5" w:rsidRPr="00D85BF5" w14:paraId="3C9FB592" w14:textId="77777777" w:rsidTr="00D85BF5">
        <w:tc>
          <w:tcPr>
            <w:tcW w:w="192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339E26"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Overall ESG rating</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46B853"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63.27%</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1A1B8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82.09%</w:t>
            </w:r>
          </w:p>
        </w:tc>
      </w:tr>
    </w:tbl>
    <w:p w14:paraId="56056CDB"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292DE261" w14:textId="77777777" w:rsidR="00D85BF5" w:rsidRPr="00D85BF5" w:rsidRDefault="00D85BF5" w:rsidP="00D85BF5">
      <w:pPr>
        <w:rPr>
          <w:rFonts w:ascii="Calibri" w:eastAsia="Times New Roman" w:hAnsi="Calibri" w:cs="Calibri"/>
          <w:color w:val="000000"/>
          <w:sz w:val="32"/>
          <w:szCs w:val="32"/>
          <w:lang w:eastAsia="en-GB"/>
        </w:rPr>
      </w:pPr>
      <w:r w:rsidRPr="00D85BF5">
        <w:rPr>
          <w:rFonts w:ascii="Calibri" w:eastAsia="Times New Roman" w:hAnsi="Calibri" w:cs="Calibri"/>
          <w:b/>
          <w:bCs/>
          <w:color w:val="000000"/>
          <w:sz w:val="32"/>
          <w:szCs w:val="32"/>
          <w:lang w:eastAsia="en-GB"/>
        </w:rPr>
        <w:t>Our key ESG actions</w:t>
      </w:r>
    </w:p>
    <w:p w14:paraId="60526E64"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5561D349" w14:textId="77777777" w:rsidR="00D85BF5" w:rsidRPr="00D85BF5" w:rsidRDefault="00D85BF5" w:rsidP="00D85BF5">
      <w:pPr>
        <w:numPr>
          <w:ilvl w:val="0"/>
          <w:numId w:val="1"/>
        </w:numPr>
        <w:textAlignment w:val="center"/>
        <w:rPr>
          <w:rFonts w:ascii="Calibri" w:eastAsia="Times New Roman" w:hAnsi="Calibri" w:cs="Calibri"/>
          <w:b/>
          <w:bCs/>
          <w:color w:val="000000"/>
          <w:sz w:val="22"/>
          <w:szCs w:val="22"/>
          <w:lang w:eastAsia="en-GB"/>
        </w:rPr>
      </w:pPr>
      <w:r w:rsidRPr="00D85BF5">
        <w:rPr>
          <w:rFonts w:ascii="Calibri" w:eastAsia="Times New Roman" w:hAnsi="Calibri" w:cs="Calibri"/>
          <w:b/>
          <w:bCs/>
          <w:color w:val="000000"/>
          <w:sz w:val="22"/>
          <w:szCs w:val="22"/>
          <w:lang w:eastAsia="en-GB"/>
        </w:rPr>
        <w:t>Environment</w:t>
      </w:r>
    </w:p>
    <w:p w14:paraId="24F37302"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Complete Carbon Reduction Plan (factor E3.1.1)</w:t>
      </w:r>
    </w:p>
    <w:p w14:paraId="2A8FE540"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With carbon emissions now being monitored, we will introduce additional controls to limit and reduce emissions wherever possible.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E3.1.2)</w:t>
      </w:r>
    </w:p>
    <w:p w14:paraId="6D5A93B3"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xml:space="preserve">We will encourage and inform workers so that they are better equipped to </w:t>
      </w:r>
      <w:proofErr w:type="gramStart"/>
      <w:r w:rsidRPr="00D85BF5">
        <w:rPr>
          <w:rFonts w:ascii="Calibri" w:eastAsia="Times New Roman" w:hAnsi="Calibri" w:cs="Calibri"/>
          <w:color w:val="000000"/>
          <w:sz w:val="22"/>
          <w:szCs w:val="22"/>
          <w:lang w:eastAsia="en-GB"/>
        </w:rPr>
        <w:t>recycle, and</w:t>
      </w:r>
      <w:proofErr w:type="gramEnd"/>
      <w:r w:rsidRPr="00D85BF5">
        <w:rPr>
          <w:rFonts w:ascii="Calibri" w:eastAsia="Times New Roman" w:hAnsi="Calibri" w:cs="Calibri"/>
          <w:color w:val="000000"/>
          <w:sz w:val="22"/>
          <w:szCs w:val="22"/>
          <w:lang w:eastAsia="en-GB"/>
        </w:rPr>
        <w:t xml:space="preserve"> improve their awareness of recycling and its importance.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E7.2)</w:t>
      </w:r>
    </w:p>
    <w:p w14:paraId="46E136DC" w14:textId="77777777" w:rsidR="00D85BF5" w:rsidRPr="00D85BF5" w:rsidRDefault="00D85BF5" w:rsidP="00D85BF5">
      <w:pPr>
        <w:numPr>
          <w:ilvl w:val="0"/>
          <w:numId w:val="1"/>
        </w:numPr>
        <w:textAlignment w:val="center"/>
        <w:rPr>
          <w:rFonts w:ascii="Calibri" w:eastAsia="Times New Roman" w:hAnsi="Calibri" w:cs="Calibri"/>
          <w:b/>
          <w:bCs/>
          <w:color w:val="000000"/>
          <w:sz w:val="22"/>
          <w:szCs w:val="22"/>
          <w:lang w:eastAsia="en-GB"/>
        </w:rPr>
      </w:pPr>
      <w:r w:rsidRPr="00D85BF5">
        <w:rPr>
          <w:rFonts w:ascii="Calibri" w:eastAsia="Times New Roman" w:hAnsi="Calibri" w:cs="Calibri"/>
          <w:b/>
          <w:bCs/>
          <w:color w:val="000000"/>
          <w:sz w:val="22"/>
          <w:szCs w:val="22"/>
          <w:lang w:eastAsia="en-GB"/>
        </w:rPr>
        <w:t>Social</w:t>
      </w:r>
    </w:p>
    <w:p w14:paraId="49026113"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xml:space="preserve">We will investigate whether it's a requirement for us to report on (internal &amp; external) diversity issues, and if it is, incorporate this </w:t>
      </w:r>
      <w:proofErr w:type="gramStart"/>
      <w:r w:rsidRPr="00D85BF5">
        <w:rPr>
          <w:rFonts w:ascii="Calibri" w:eastAsia="Times New Roman" w:hAnsi="Calibri" w:cs="Calibri"/>
          <w:color w:val="000000"/>
          <w:sz w:val="22"/>
          <w:szCs w:val="22"/>
          <w:lang w:eastAsia="en-GB"/>
        </w:rPr>
        <w:t>in to</w:t>
      </w:r>
      <w:proofErr w:type="gramEnd"/>
      <w:r w:rsidRPr="00D85BF5">
        <w:rPr>
          <w:rFonts w:ascii="Calibri" w:eastAsia="Times New Roman" w:hAnsi="Calibri" w:cs="Calibri"/>
          <w:color w:val="000000"/>
          <w:sz w:val="22"/>
          <w:szCs w:val="22"/>
          <w:lang w:eastAsia="en-GB"/>
        </w:rPr>
        <w:t xml:space="preserve"> our regular reporting cycle. (</w:t>
      </w:r>
      <w:proofErr w:type="gramStart"/>
      <w:r w:rsidRPr="00D85BF5">
        <w:rPr>
          <w:rFonts w:ascii="Calibri" w:eastAsia="Times New Roman" w:hAnsi="Calibri" w:cs="Calibri"/>
          <w:color w:val="000000"/>
          <w:sz w:val="22"/>
          <w:szCs w:val="22"/>
          <w:lang w:eastAsia="en-GB"/>
        </w:rPr>
        <w:t>factors</w:t>
      </w:r>
      <w:proofErr w:type="gramEnd"/>
      <w:r w:rsidRPr="00D85BF5">
        <w:rPr>
          <w:rFonts w:ascii="Calibri" w:eastAsia="Times New Roman" w:hAnsi="Calibri" w:cs="Calibri"/>
          <w:color w:val="000000"/>
          <w:sz w:val="22"/>
          <w:szCs w:val="22"/>
          <w:lang w:eastAsia="en-GB"/>
        </w:rPr>
        <w:t xml:space="preserve"> S1.1.4 and S1.2.4)</w:t>
      </w:r>
    </w:p>
    <w:p w14:paraId="7B52F6DB"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review the current mix of benefits offered to our (internal) employees.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S1.1.8)</w:t>
      </w:r>
    </w:p>
    <w:p w14:paraId="38D53169"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introduce plans and campaigns to reduce (external) attrition.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S1.2.3)</w:t>
      </w:r>
    </w:p>
    <w:p w14:paraId="65D55ABD"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lastRenderedPageBreak/>
        <w:t>We will explore beneficial technology and R&amp;D activities, where appropriate.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S7.1)</w:t>
      </w:r>
    </w:p>
    <w:p w14:paraId="4506FD72" w14:textId="77777777" w:rsidR="00D85BF5" w:rsidRPr="00D85BF5" w:rsidRDefault="00D85BF5" w:rsidP="00D85BF5">
      <w:pPr>
        <w:numPr>
          <w:ilvl w:val="0"/>
          <w:numId w:val="1"/>
        </w:numPr>
        <w:textAlignment w:val="center"/>
        <w:rPr>
          <w:rFonts w:ascii="Calibri" w:eastAsia="Times New Roman" w:hAnsi="Calibri" w:cs="Calibri"/>
          <w:b/>
          <w:bCs/>
          <w:color w:val="000000"/>
          <w:sz w:val="22"/>
          <w:szCs w:val="22"/>
          <w:lang w:eastAsia="en-GB"/>
        </w:rPr>
      </w:pPr>
      <w:r w:rsidRPr="00D85BF5">
        <w:rPr>
          <w:rFonts w:ascii="Calibri" w:eastAsia="Times New Roman" w:hAnsi="Calibri" w:cs="Calibri"/>
          <w:b/>
          <w:bCs/>
          <w:color w:val="000000"/>
          <w:sz w:val="22"/>
          <w:szCs w:val="22"/>
          <w:lang w:eastAsia="en-GB"/>
        </w:rPr>
        <w:t>Governance</w:t>
      </w:r>
    </w:p>
    <w:p w14:paraId="3835D0C3"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publish an ESG statement on the company website, including the values and principles we adhere to.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G1.2.1)</w:t>
      </w:r>
    </w:p>
    <w:p w14:paraId="03969439"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ensure annual ESG assessments take place and will be reported via Divisional CEO to the Group Board.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G1.3.1)</w:t>
      </w:r>
    </w:p>
    <w:p w14:paraId="42C0F7D8"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Add a sustainability section to the company website (factor G1.3.3)</w:t>
      </w:r>
    </w:p>
    <w:p w14:paraId="7FF0E897" w14:textId="77777777" w:rsidR="00D85BF5" w:rsidRPr="00D85BF5" w:rsidRDefault="00D85BF5" w:rsidP="00D85BF5">
      <w:pPr>
        <w:numPr>
          <w:ilvl w:val="1"/>
          <w:numId w:val="1"/>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be implementing a formal responsible purchasing policy / code of conduct for suppliers, including ESG criteria, within the next 12 months.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G3.3)</w:t>
      </w:r>
    </w:p>
    <w:p w14:paraId="5817E1DD" w14:textId="77777777" w:rsidR="00D85BF5" w:rsidRPr="00D85BF5" w:rsidRDefault="00D85BF5" w:rsidP="00D85BF5">
      <w:pPr>
        <w:ind w:left="540"/>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2740C29D" w14:textId="77777777" w:rsidR="00D4428E" w:rsidRDefault="00D4428E"/>
    <w:sectPr w:rsidR="00D4428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0FB3" w14:textId="77777777" w:rsidR="00E445F3" w:rsidRDefault="00E445F3" w:rsidP="00D85BF5">
      <w:r>
        <w:separator/>
      </w:r>
    </w:p>
  </w:endnote>
  <w:endnote w:type="continuationSeparator" w:id="0">
    <w:p w14:paraId="0F5B4FE7" w14:textId="77777777" w:rsidR="00E445F3" w:rsidRDefault="00E445F3" w:rsidP="00D85BF5">
      <w:r>
        <w:continuationSeparator/>
      </w:r>
    </w:p>
  </w:endnote>
  <w:endnote w:type="continuationNotice" w:id="1">
    <w:p w14:paraId="69E08DAA" w14:textId="77777777" w:rsidR="00E445F3" w:rsidRDefault="00E4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9D3DFC" w14:paraId="7783E83D" w14:textId="77777777" w:rsidTr="579D3DFC">
      <w:tc>
        <w:tcPr>
          <w:tcW w:w="3005" w:type="dxa"/>
        </w:tcPr>
        <w:p w14:paraId="6D60095E" w14:textId="2FA6F56B" w:rsidR="579D3DFC" w:rsidRDefault="579D3DFC" w:rsidP="579D3DFC">
          <w:pPr>
            <w:pStyle w:val="Header"/>
            <w:ind w:left="-115"/>
          </w:pPr>
        </w:p>
      </w:tc>
      <w:tc>
        <w:tcPr>
          <w:tcW w:w="3005" w:type="dxa"/>
        </w:tcPr>
        <w:p w14:paraId="7D0FF8A8" w14:textId="239BE4B1" w:rsidR="579D3DFC" w:rsidRDefault="579D3DFC" w:rsidP="579D3DFC">
          <w:pPr>
            <w:pStyle w:val="Header"/>
            <w:jc w:val="center"/>
          </w:pPr>
        </w:p>
      </w:tc>
      <w:tc>
        <w:tcPr>
          <w:tcW w:w="3005" w:type="dxa"/>
        </w:tcPr>
        <w:p w14:paraId="02213204" w14:textId="1BDE9473" w:rsidR="579D3DFC" w:rsidRDefault="579D3DFC" w:rsidP="579D3DFC">
          <w:pPr>
            <w:pStyle w:val="Header"/>
            <w:ind w:right="-115"/>
            <w:jc w:val="right"/>
          </w:pPr>
        </w:p>
      </w:tc>
    </w:tr>
  </w:tbl>
  <w:p w14:paraId="630249B9" w14:textId="2623A5C3" w:rsidR="579D3DFC" w:rsidRDefault="579D3DFC" w:rsidP="579D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337E" w14:textId="77777777" w:rsidR="00E445F3" w:rsidRDefault="00E445F3" w:rsidP="00D85BF5">
      <w:r>
        <w:separator/>
      </w:r>
    </w:p>
  </w:footnote>
  <w:footnote w:type="continuationSeparator" w:id="0">
    <w:p w14:paraId="05E2E7EC" w14:textId="77777777" w:rsidR="00E445F3" w:rsidRDefault="00E445F3" w:rsidP="00D85BF5">
      <w:r>
        <w:continuationSeparator/>
      </w:r>
    </w:p>
  </w:footnote>
  <w:footnote w:type="continuationNotice" w:id="1">
    <w:p w14:paraId="187ECF6A" w14:textId="77777777" w:rsidR="00E445F3" w:rsidRDefault="00E44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F88A" w14:textId="37C7C8A7" w:rsidR="00D85BF5" w:rsidRDefault="00D85BF5" w:rsidP="00D85BF5">
    <w:pPr>
      <w:pStyle w:val="Header"/>
      <w:pBdr>
        <w:bottom w:val="single" w:sz="4" w:space="1" w:color="auto"/>
      </w:pBdr>
    </w:pPr>
    <w:r>
      <w:rPr>
        <w:noProof/>
      </w:rPr>
      <w:drawing>
        <wp:anchor distT="0" distB="0" distL="114300" distR="114300" simplePos="0" relativeHeight="251658240" behindDoc="0" locked="0" layoutInCell="1" allowOverlap="1" wp14:anchorId="00922580" wp14:editId="04B34C19">
          <wp:simplePos x="0" y="0"/>
          <wp:positionH relativeFrom="column">
            <wp:posOffset>4732020</wp:posOffset>
          </wp:positionH>
          <wp:positionV relativeFrom="paragraph">
            <wp:posOffset>-208948</wp:posOffset>
          </wp:positionV>
          <wp:extent cx="1780674" cy="593558"/>
          <wp:effectExtent l="0" t="0" r="0" b="381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0674" cy="593558"/>
                  </a:xfrm>
                  <a:prstGeom prst="rect">
                    <a:avLst/>
                  </a:prstGeom>
                </pic:spPr>
              </pic:pic>
            </a:graphicData>
          </a:graphic>
          <wp14:sizeRelH relativeFrom="page">
            <wp14:pctWidth>0</wp14:pctWidth>
          </wp14:sizeRelH>
          <wp14:sizeRelV relativeFrom="page">
            <wp14:pctHeight>0</wp14:pctHeight>
          </wp14:sizeRelV>
        </wp:anchor>
      </w:drawing>
    </w:r>
    <w:r>
      <w:t>Bluestones Medical – ESG Statement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45877"/>
    <w:multiLevelType w:val="multilevel"/>
    <w:tmpl w:val="0FFC7982"/>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890796">
    <w:abstractNumId w:val="0"/>
    <w:lvlOverride w:ilvl="0">
      <w:startOverride w:val="1"/>
    </w:lvlOverride>
  </w:num>
  <w:num w:numId="2" w16cid:durableId="15890796">
    <w:abstractNumId w:val="0"/>
    <w:lvlOverride w:ilvl="0"/>
    <w:lvlOverride w:ilvl="1">
      <w:startOverride w:val="1"/>
    </w:lvlOverride>
  </w:num>
  <w:num w:numId="3" w16cid:durableId="15890796">
    <w:abstractNumId w:val="0"/>
    <w:lvlOverride w:ilvl="0"/>
    <w:lvlOverride w:ilvl="1">
      <w:startOverride w:val="1"/>
    </w:lvlOverride>
  </w:num>
  <w:num w:numId="4" w16cid:durableId="15890796">
    <w:abstractNumId w:val="0"/>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F5"/>
    <w:rsid w:val="001963B7"/>
    <w:rsid w:val="006A6CB3"/>
    <w:rsid w:val="007168C9"/>
    <w:rsid w:val="00AC7052"/>
    <w:rsid w:val="00D4428E"/>
    <w:rsid w:val="00D85BF5"/>
    <w:rsid w:val="00E445F3"/>
    <w:rsid w:val="00F07236"/>
    <w:rsid w:val="579D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5183"/>
  <w15:chartTrackingRefBased/>
  <w15:docId w15:val="{6FA31405-9CB5-E942-AD3D-EE07718E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BF5"/>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D85BF5"/>
    <w:pPr>
      <w:tabs>
        <w:tab w:val="center" w:pos="4513"/>
        <w:tab w:val="right" w:pos="9026"/>
      </w:tabs>
    </w:pPr>
  </w:style>
  <w:style w:type="character" w:customStyle="1" w:styleId="HeaderChar">
    <w:name w:val="Header Char"/>
    <w:basedOn w:val="DefaultParagraphFont"/>
    <w:link w:val="Header"/>
    <w:uiPriority w:val="99"/>
    <w:rsid w:val="00D85BF5"/>
  </w:style>
  <w:style w:type="paragraph" w:styleId="Footer">
    <w:name w:val="footer"/>
    <w:basedOn w:val="Normal"/>
    <w:link w:val="FooterChar"/>
    <w:uiPriority w:val="99"/>
    <w:unhideWhenUsed/>
    <w:rsid w:val="00D85BF5"/>
    <w:pPr>
      <w:tabs>
        <w:tab w:val="center" w:pos="4513"/>
        <w:tab w:val="right" w:pos="9026"/>
      </w:tabs>
    </w:pPr>
  </w:style>
  <w:style w:type="character" w:customStyle="1" w:styleId="FooterChar">
    <w:name w:val="Footer Char"/>
    <w:basedOn w:val="DefaultParagraphFont"/>
    <w:link w:val="Footer"/>
    <w:uiPriority w:val="99"/>
    <w:rsid w:val="00D85BF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4454">
      <w:bodyDiv w:val="1"/>
      <w:marLeft w:val="0"/>
      <w:marRight w:val="0"/>
      <w:marTop w:val="0"/>
      <w:marBottom w:val="0"/>
      <w:divBdr>
        <w:top w:val="none" w:sz="0" w:space="0" w:color="auto"/>
        <w:left w:val="none" w:sz="0" w:space="0" w:color="auto"/>
        <w:bottom w:val="none" w:sz="0" w:space="0" w:color="auto"/>
        <w:right w:val="none" w:sz="0" w:space="0" w:color="auto"/>
      </w:divBdr>
      <w:divsChild>
        <w:div w:id="999890870">
          <w:marLeft w:val="0"/>
          <w:marRight w:val="0"/>
          <w:marTop w:val="0"/>
          <w:marBottom w:val="0"/>
          <w:divBdr>
            <w:top w:val="none" w:sz="0" w:space="0" w:color="auto"/>
            <w:left w:val="none" w:sz="0" w:space="0" w:color="auto"/>
            <w:bottom w:val="none" w:sz="0" w:space="0" w:color="auto"/>
            <w:right w:val="none" w:sz="0" w:space="0" w:color="auto"/>
          </w:divBdr>
          <w:divsChild>
            <w:div w:id="1520966142">
              <w:marLeft w:val="0"/>
              <w:marRight w:val="0"/>
              <w:marTop w:val="0"/>
              <w:marBottom w:val="0"/>
              <w:divBdr>
                <w:top w:val="none" w:sz="0" w:space="0" w:color="auto"/>
                <w:left w:val="none" w:sz="0" w:space="0" w:color="auto"/>
                <w:bottom w:val="none" w:sz="0" w:space="0" w:color="auto"/>
                <w:right w:val="none" w:sz="0" w:space="0" w:color="auto"/>
              </w:divBdr>
              <w:divsChild>
                <w:div w:id="338317553">
                  <w:marLeft w:val="0"/>
                  <w:marRight w:val="0"/>
                  <w:marTop w:val="0"/>
                  <w:marBottom w:val="0"/>
                  <w:divBdr>
                    <w:top w:val="none" w:sz="0" w:space="0" w:color="auto"/>
                    <w:left w:val="none" w:sz="0" w:space="0" w:color="auto"/>
                    <w:bottom w:val="none" w:sz="0" w:space="0" w:color="auto"/>
                    <w:right w:val="none" w:sz="0" w:space="0" w:color="auto"/>
                  </w:divBdr>
                  <w:divsChild>
                    <w:div w:id="9858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53E065707684B8E50DC885149B2BF" ma:contentTypeVersion="9" ma:contentTypeDescription="Create a new document." ma:contentTypeScope="" ma:versionID="a39969b3583013f4ba2db89294cedbaa">
  <xsd:schema xmlns:xsd="http://www.w3.org/2001/XMLSchema" xmlns:xs="http://www.w3.org/2001/XMLSchema" xmlns:p="http://schemas.microsoft.com/office/2006/metadata/properties" xmlns:ns2="bd58863b-88a6-417e-b937-3bc1b1ab2add" xmlns:ns3="fa29568a-2361-465d-9f52-7b0896b5921b" targetNamespace="http://schemas.microsoft.com/office/2006/metadata/properties" ma:root="true" ma:fieldsID="874c71bdeb1f38025efd9881cfb1114f" ns2:_="" ns3:_="">
    <xsd:import namespace="bd58863b-88a6-417e-b937-3bc1b1ab2add"/>
    <xsd:import namespace="fa29568a-2361-465d-9f52-7b0896b592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863b-88a6-417e-b937-3bc1b1ab2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65b964-1b43-40b8-9858-7c75a0f615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9568a-2361-465d-9f52-7b0896b592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c3c528-a8a2-473c-a25b-d0a3288454be}" ma:internalName="TaxCatchAll" ma:showField="CatchAllData" ma:web="fa29568a-2361-465d-9f52-7b0896b59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8863b-88a6-417e-b937-3bc1b1ab2add">
      <Terms xmlns="http://schemas.microsoft.com/office/infopath/2007/PartnerControls"/>
    </lcf76f155ced4ddcb4097134ff3c332f>
    <TaxCatchAll xmlns="fa29568a-2361-465d-9f52-7b0896b592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E9FE3-3651-471F-AE89-5F9C7AF4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863b-88a6-417e-b937-3bc1b1ab2add"/>
    <ds:schemaRef ds:uri="fa29568a-2361-465d-9f52-7b0896b59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B37CA-238A-4277-B62A-7AA8739CFDED}">
  <ds:schemaRefs>
    <ds:schemaRef ds:uri="http://schemas.microsoft.com/office/2006/metadata/properties"/>
    <ds:schemaRef ds:uri="http://schemas.microsoft.com/office/infopath/2007/PartnerControls"/>
    <ds:schemaRef ds:uri="bd58863b-88a6-417e-b937-3bc1b1ab2add"/>
    <ds:schemaRef ds:uri="fa29568a-2361-465d-9f52-7b0896b5921b"/>
  </ds:schemaRefs>
</ds:datastoreItem>
</file>

<file path=customXml/itemProps3.xml><?xml version="1.0" encoding="utf-8"?>
<ds:datastoreItem xmlns:ds="http://schemas.openxmlformats.org/officeDocument/2006/customXml" ds:itemID="{0770B188-D842-4079-8E22-66741E963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Cody</dc:creator>
  <cp:keywords/>
  <dc:description/>
  <cp:lastModifiedBy>Georgia Bellis</cp:lastModifiedBy>
  <cp:revision>2</cp:revision>
  <dcterms:created xsi:type="dcterms:W3CDTF">2022-09-29T11:08:00Z</dcterms:created>
  <dcterms:modified xsi:type="dcterms:W3CDTF">2022-09-29T11:08:00Z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0x01010035B4741E9C67E9478E160EFCAB47558C</vt:lpwstr>
  </property>
</Properties>
</file>